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C6" w:rsidRDefault="00A843C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Country: </w:t>
      </w:r>
      <w:proofErr w:type="spellStart"/>
      <w:r>
        <w:rPr>
          <w:sz w:val="20"/>
          <w:szCs w:val="20"/>
          <w:lang w:val="en-US"/>
        </w:rPr>
        <w:t>pls</w:t>
      </w:r>
      <w:proofErr w:type="spellEnd"/>
      <w:r>
        <w:rPr>
          <w:sz w:val="20"/>
          <w:szCs w:val="20"/>
          <w:lang w:val="en-US"/>
        </w:rPr>
        <w:t xml:space="preserve"> indicate!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59"/>
        <w:gridCol w:w="6149"/>
        <w:gridCol w:w="7512"/>
      </w:tblGrid>
      <w:tr w:rsidR="004A0AC6">
        <w:trPr>
          <w:trHeight w:val="301"/>
        </w:trPr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6149" w:type="dxa"/>
          </w:tcPr>
          <w:p w:rsidR="004A0AC6" w:rsidRDefault="00A843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Measure</w:t>
            </w:r>
          </w:p>
        </w:tc>
        <w:tc>
          <w:tcPr>
            <w:tcW w:w="7512" w:type="dxa"/>
          </w:tcPr>
          <w:p w:rsidR="004A0AC6" w:rsidRDefault="00A843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Implementation </w:t>
            </w:r>
          </w:p>
        </w:tc>
      </w:tr>
      <w:tr w:rsidR="004A0AC6"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Afforestation</w:t>
            </w:r>
            <w:proofErr w:type="spellEnd"/>
            <w:r>
              <w:rPr>
                <w:sz w:val="20"/>
                <w:szCs w:val="20"/>
              </w:rPr>
              <w:t xml:space="preserve"> of agricultural land ha /year  </w:t>
            </w:r>
          </w:p>
        </w:tc>
        <w:tc>
          <w:tcPr>
            <w:tcW w:w="7512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Default="004A0AC6">
            <w:pPr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>Manure storage capacity (months)</w:t>
            </w:r>
          </w:p>
        </w:tc>
        <w:tc>
          <w:tcPr>
            <w:tcW w:w="7512" w:type="dxa"/>
          </w:tcPr>
          <w:p w:rsidR="004A0AC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months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Pr="004D69B1" w:rsidRDefault="004D69B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storage capacity </w:t>
            </w:r>
            <w:r w:rsidR="00495E96">
              <w:rPr>
                <w:sz w:val="20"/>
                <w:szCs w:val="20"/>
                <w:lang w:val="en-US"/>
              </w:rPr>
              <w:t>for 1 LU</w:t>
            </w:r>
            <w:r>
              <w:rPr>
                <w:sz w:val="20"/>
                <w:szCs w:val="20"/>
                <w:lang w:val="en-US"/>
              </w:rPr>
              <w:t xml:space="preserve"> – 8 m</w:t>
            </w:r>
            <w:r w:rsidRPr="004D69B1">
              <w:rPr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(solid manure), 2 m</w:t>
            </w:r>
            <w:r w:rsidRPr="004D69B1">
              <w:rPr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(liquid manure) and 10 m</w:t>
            </w:r>
            <w:r w:rsidRPr="004D69B1">
              <w:rPr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(semi-liquid manure – for lagoons)</w:t>
            </w:r>
          </w:p>
        </w:tc>
      </w:tr>
      <w:tr w:rsidR="004A0AC6"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Prohibition periods for applying fertilizer and manure (months)</w:t>
            </w:r>
          </w:p>
        </w:tc>
        <w:tc>
          <w:tcPr>
            <w:tcW w:w="7512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Prohibition periods </w:t>
            </w:r>
            <w:r>
              <w:rPr>
                <w:sz w:val="20"/>
                <w:szCs w:val="20"/>
              </w:rPr>
              <w:t>for applying fertilizer and manure</w:t>
            </w:r>
            <w:r>
              <w:rPr>
                <w:sz w:val="20"/>
                <w:szCs w:val="20"/>
                <w:lang w:val="en-US"/>
              </w:rPr>
              <w:t xml:space="preserve"> are:</w:t>
            </w:r>
          </w:p>
          <w:p w:rsidR="004A0AC6" w:rsidRDefault="00A843CE" w:rsidP="00535387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from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="00535387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1. December </w:t>
            </w:r>
            <w:r w:rsidR="00535387">
              <w:rPr>
                <w:sz w:val="20"/>
                <w:szCs w:val="20"/>
                <w:lang w:val="en-US"/>
              </w:rPr>
              <w:t xml:space="preserve">to 01. March – on all agricultural </w:t>
            </w:r>
            <w:r w:rsidR="0070419C">
              <w:rPr>
                <w:sz w:val="20"/>
                <w:szCs w:val="20"/>
                <w:lang w:val="en-US"/>
              </w:rPr>
              <w:t xml:space="preserve">land </w:t>
            </w:r>
            <w:r w:rsidR="00535387">
              <w:rPr>
                <w:sz w:val="20"/>
                <w:szCs w:val="20"/>
                <w:lang w:val="en-US"/>
              </w:rPr>
              <w:t xml:space="preserve"> regardless of the cover</w:t>
            </w:r>
          </w:p>
          <w:p w:rsidR="00535387" w:rsidRDefault="00535387" w:rsidP="00535387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from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01. May to 01. September – on all agricultural </w:t>
            </w:r>
            <w:r w:rsidR="0070419C">
              <w:rPr>
                <w:sz w:val="20"/>
                <w:szCs w:val="20"/>
                <w:lang w:val="en-US"/>
              </w:rPr>
              <w:t>land</w:t>
            </w:r>
            <w:r>
              <w:rPr>
                <w:sz w:val="20"/>
                <w:szCs w:val="20"/>
                <w:lang w:val="en-US"/>
              </w:rPr>
              <w:t xml:space="preserve"> on surface without input</w:t>
            </w:r>
          </w:p>
          <w:p w:rsidR="00535387" w:rsidRPr="00535387" w:rsidRDefault="00535387" w:rsidP="00535387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from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01. May to 01. September - </w:t>
            </w:r>
            <w:r>
              <w:rPr>
                <w:sz w:val="20"/>
                <w:szCs w:val="20"/>
              </w:rPr>
              <w:t xml:space="preserve">for applying manure on all </w:t>
            </w:r>
            <w:r>
              <w:rPr>
                <w:sz w:val="20"/>
                <w:szCs w:val="20"/>
                <w:lang w:val="en-US"/>
              </w:rPr>
              <w:t xml:space="preserve">agricultural </w:t>
            </w:r>
            <w:r w:rsidR="0070419C">
              <w:rPr>
                <w:sz w:val="20"/>
                <w:szCs w:val="20"/>
                <w:lang w:val="en-US"/>
              </w:rPr>
              <w:t>land</w:t>
            </w:r>
          </w:p>
          <w:p w:rsidR="00BD47B5" w:rsidRDefault="00535387" w:rsidP="00BD47B5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from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01. November to </w:t>
            </w:r>
            <w:r w:rsidR="00BD47B5">
              <w:rPr>
                <w:sz w:val="20"/>
                <w:szCs w:val="20"/>
                <w:lang w:val="en-US"/>
              </w:rPr>
              <w:t xml:space="preserve">01. </w:t>
            </w:r>
            <w:proofErr w:type="spellStart"/>
            <w:r w:rsidR="00BD47B5">
              <w:rPr>
                <w:sz w:val="20"/>
                <w:szCs w:val="20"/>
                <w:lang w:val="en-US"/>
              </w:rPr>
              <w:t>Ferbruary</w:t>
            </w:r>
            <w:proofErr w:type="spellEnd"/>
            <w:r w:rsidR="00BD47B5">
              <w:rPr>
                <w:sz w:val="20"/>
                <w:szCs w:val="20"/>
                <w:lang w:val="en-US"/>
              </w:rPr>
              <w:t xml:space="preserve"> – for applying mineral fertilizers with nitrate nitrogen on all ag</w:t>
            </w:r>
            <w:r w:rsidR="0070419C">
              <w:rPr>
                <w:sz w:val="20"/>
                <w:szCs w:val="20"/>
                <w:lang w:val="en-US"/>
              </w:rPr>
              <w:t>ricultural land</w:t>
            </w:r>
            <w:r w:rsidR="00BD47B5">
              <w:rPr>
                <w:sz w:val="20"/>
                <w:szCs w:val="20"/>
                <w:lang w:val="en-US"/>
              </w:rPr>
              <w:t xml:space="preserve">, </w:t>
            </w:r>
            <w:r w:rsidR="00BD47B5" w:rsidRPr="00BD47B5">
              <w:rPr>
                <w:sz w:val="20"/>
                <w:szCs w:val="20"/>
                <w:lang w:val="en-US"/>
              </w:rPr>
              <w:t>exceptionally allowed</w:t>
            </w:r>
            <w:r w:rsidR="00BD47B5">
              <w:rPr>
                <w:sz w:val="20"/>
                <w:szCs w:val="20"/>
                <w:lang w:val="en-US"/>
              </w:rPr>
              <w:t xml:space="preserve"> applying urea on crop residue</w:t>
            </w:r>
          </w:p>
          <w:p w:rsidR="00BD47B5" w:rsidRPr="00BD47B5" w:rsidRDefault="00BD47B5" w:rsidP="00BD47B5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from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harvest to 01. December – application of mineral fertilizers 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Default="00BD47B5" w:rsidP="00E45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Optimal moments for application are: late winter and spring</w:t>
            </w:r>
            <w:r w:rsidR="00E458B3">
              <w:rPr>
                <w:sz w:val="20"/>
                <w:szCs w:val="20"/>
                <w:lang w:val="en-US"/>
              </w:rPr>
              <w:t xml:space="preserve">. On land affected by floods application is allowed </w:t>
            </w:r>
            <w:proofErr w:type="gramStart"/>
            <w:r w:rsidR="00E458B3">
              <w:rPr>
                <w:sz w:val="20"/>
                <w:szCs w:val="20"/>
                <w:lang w:val="en-US"/>
              </w:rPr>
              <w:t xml:space="preserve">after  </w:t>
            </w:r>
            <w:r w:rsidR="00B627FD" w:rsidRPr="00B627FD">
              <w:rPr>
                <w:sz w:val="20"/>
                <w:szCs w:val="20"/>
                <w:lang w:val="en-US"/>
              </w:rPr>
              <w:t>excluded</w:t>
            </w:r>
            <w:proofErr w:type="gramEnd"/>
            <w:r w:rsidR="00B627FD" w:rsidRPr="00B627FD">
              <w:rPr>
                <w:sz w:val="20"/>
                <w:szCs w:val="20"/>
                <w:lang w:val="en-US"/>
              </w:rPr>
              <w:t xml:space="preserve"> the possibility of flooding</w:t>
            </w:r>
            <w:r w:rsidR="00B627FD">
              <w:rPr>
                <w:sz w:val="20"/>
                <w:szCs w:val="20"/>
              </w:rPr>
              <w:t>.</w:t>
            </w:r>
          </w:p>
          <w:p w:rsidR="00B627FD" w:rsidRPr="00B627FD" w:rsidRDefault="00B627FD" w:rsidP="00B62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627FD">
              <w:rPr>
                <w:sz w:val="20"/>
                <w:szCs w:val="20"/>
              </w:rPr>
              <w:t xml:space="preserve">n the areas of sanitary protection of </w:t>
            </w:r>
            <w:r>
              <w:rPr>
                <w:sz w:val="20"/>
                <w:szCs w:val="20"/>
              </w:rPr>
              <w:t xml:space="preserve">water </w:t>
            </w:r>
            <w:r w:rsidRPr="00B627FD">
              <w:rPr>
                <w:sz w:val="20"/>
                <w:szCs w:val="20"/>
              </w:rPr>
              <w:t>sources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application of fertilizers is allowed in </w:t>
            </w:r>
            <w:r w:rsidRPr="00B627FD">
              <w:rPr>
                <w:sz w:val="20"/>
                <w:szCs w:val="20"/>
                <w:lang w:val="en-US"/>
              </w:rPr>
              <w:t>accordance with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of sanitary protection.</w:t>
            </w:r>
            <w:r w:rsidR="00191126">
              <w:rPr>
                <w:sz w:val="20"/>
                <w:szCs w:val="20"/>
                <w:lang w:val="en-US"/>
              </w:rPr>
              <w:t xml:space="preserve"> I</w:t>
            </w:r>
            <w:r w:rsidR="00191126" w:rsidRPr="00191126">
              <w:rPr>
                <w:sz w:val="20"/>
                <w:szCs w:val="20"/>
                <w:lang w:val="en-US"/>
              </w:rPr>
              <w:t>n the immediate sanitary protection zone</w:t>
            </w:r>
            <w:r w:rsidR="00191126">
              <w:rPr>
                <w:sz w:val="20"/>
                <w:szCs w:val="20"/>
                <w:lang w:val="en-US"/>
              </w:rPr>
              <w:t xml:space="preserve"> application of fertilizers is forbidden.</w:t>
            </w:r>
          </w:p>
        </w:tc>
      </w:tr>
      <w:tr w:rsidR="004A0AC6"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Limitation of nitrogen and phosphorous application</w:t>
            </w:r>
          </w:p>
        </w:tc>
        <w:tc>
          <w:tcPr>
            <w:tcW w:w="7512" w:type="dxa"/>
          </w:tcPr>
          <w:p w:rsidR="004A0AC6" w:rsidRDefault="004A0AC6">
            <w:pPr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4A0AC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kg/ha on agricultural land</w:t>
            </w:r>
          </w:p>
        </w:tc>
        <w:tc>
          <w:tcPr>
            <w:tcW w:w="7512" w:type="dxa"/>
          </w:tcPr>
          <w:p w:rsidR="004A0AC6" w:rsidRDefault="004A0AC6" w:rsidP="004D286A">
            <w:pPr>
              <w:ind w:left="360"/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4A0AC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kg/ha on grass land</w:t>
            </w:r>
          </w:p>
        </w:tc>
        <w:tc>
          <w:tcPr>
            <w:tcW w:w="7512" w:type="dxa"/>
          </w:tcPr>
          <w:p w:rsidR="004A0AC6" w:rsidRDefault="004A0AC6">
            <w:pPr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4A0AC6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Pr="004D286A" w:rsidRDefault="004D286A" w:rsidP="004D286A">
            <w:pPr>
              <w:numPr>
                <w:ilvl w:val="0"/>
                <w:numId w:val="4"/>
              </w:num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 xml:space="preserve">210 kg/ha (N) is allowed in first 4-year period after </w:t>
            </w:r>
            <w:r w:rsidRPr="004D286A">
              <w:rPr>
                <w:sz w:val="20"/>
                <w:szCs w:val="20"/>
              </w:rPr>
              <w:t>carried out an initial analysis of soil fertility</w:t>
            </w:r>
          </w:p>
          <w:p w:rsidR="004D286A" w:rsidRDefault="004D286A" w:rsidP="004D286A">
            <w:pPr>
              <w:numPr>
                <w:ilvl w:val="0"/>
                <w:numId w:val="4"/>
              </w:num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>170 kg/ha (N) is allowed after that period</w:t>
            </w:r>
          </w:p>
        </w:tc>
      </w:tr>
      <w:tr w:rsidR="004A0AC6">
        <w:tc>
          <w:tcPr>
            <w:tcW w:w="55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Code of Good Agricultural practices in line with ND requirements (ha)</w:t>
            </w:r>
          </w:p>
        </w:tc>
        <w:tc>
          <w:tcPr>
            <w:tcW w:w="7512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Default="004A0AC6">
            <w:pPr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NVZ (ha) comparison with the values from the ND implementation, respectively similar areas declared </w:t>
            </w:r>
          </w:p>
        </w:tc>
        <w:tc>
          <w:tcPr>
            <w:tcW w:w="7512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Default="004A0AC6">
            <w:pPr>
              <w:rPr>
                <w:sz w:val="20"/>
                <w:szCs w:val="20"/>
                <w:lang w:val="bg-BG"/>
              </w:rPr>
            </w:pPr>
          </w:p>
        </w:tc>
      </w:tr>
      <w:tr w:rsidR="004A0AC6">
        <w:tc>
          <w:tcPr>
            <w:tcW w:w="55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Restrictions of some agricultural activities on slopes (slope in %)</w:t>
            </w:r>
          </w:p>
        </w:tc>
        <w:tc>
          <w:tcPr>
            <w:tcW w:w="7512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A0AC6">
        <w:tc>
          <w:tcPr>
            <w:tcW w:w="559" w:type="dxa"/>
          </w:tcPr>
          <w:p w:rsidR="004A0AC6" w:rsidRDefault="004A0AC6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A0AC6" w:rsidRDefault="00A843CE">
            <w:pPr>
              <w:tabs>
                <w:tab w:val="left" w:pos="84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A0AC6" w:rsidRDefault="006227EA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Trough several Projects, Agricultural Advise Service inform and educate farmers about requirements of Nitrate Directive and Codes of Good Agricultural practices</w:t>
            </w:r>
          </w:p>
        </w:tc>
      </w:tr>
      <w:tr w:rsidR="004A0AC6">
        <w:tc>
          <w:tcPr>
            <w:tcW w:w="559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149" w:type="dxa"/>
          </w:tcPr>
          <w:p w:rsidR="004A0AC6" w:rsidRDefault="00A843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Area with organic production (ha)</w:t>
            </w:r>
          </w:p>
        </w:tc>
        <w:tc>
          <w:tcPr>
            <w:tcW w:w="7512" w:type="dxa"/>
          </w:tcPr>
          <w:p w:rsidR="004A0AC6" w:rsidRPr="006227EA" w:rsidRDefault="004A0AC6">
            <w:pPr>
              <w:rPr>
                <w:sz w:val="20"/>
                <w:szCs w:val="20"/>
                <w:lang w:val="en-US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Pr="006227EA" w:rsidRDefault="00495E96" w:rsidP="006C684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680 ha (in all country), about 0,03 % of total agricultural land in </w:t>
            </w:r>
            <w:proofErr w:type="spellStart"/>
            <w:r>
              <w:rPr>
                <w:sz w:val="20"/>
                <w:szCs w:val="20"/>
                <w:lang w:val="en-US"/>
              </w:rPr>
              <w:t>BiH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(Study of organic production, 2012)</w:t>
            </w: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Measures against erosion: buffer stripes (river in km, m of width)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Trough several Projects, Agricultural Advise Service inform and educate farmers about requirements of Nitrate Directive and Codes of Good Agricultural practices</w:t>
            </w: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Erosion-minimizing cultivation systems (catch crops) (ha of arable land)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Establishment of wetlands (ha of new wetlands or rehabilitated ones)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Nutrient Balances (% of farmers </w:t>
            </w:r>
            <w:r>
              <w:rPr>
                <w:sz w:val="20"/>
                <w:szCs w:val="20"/>
                <w:lang w:val="en-US"/>
              </w:rPr>
              <w:t>obliged to d</w:t>
            </w:r>
            <w:r>
              <w:rPr>
                <w:sz w:val="20"/>
                <w:szCs w:val="20"/>
              </w:rPr>
              <w:t>o the nutrient balances)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Farm Advice/Extension Services (no of farmers trained)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</w:tr>
      <w:tr w:rsidR="00495E96">
        <w:tc>
          <w:tcPr>
            <w:tcW w:w="559" w:type="dxa"/>
          </w:tcPr>
          <w:p w:rsidR="00495E96" w:rsidRDefault="00495E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49" w:type="dxa"/>
          </w:tcPr>
          <w:p w:rsidR="00495E96" w:rsidRDefault="00495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  <w:tc>
          <w:tcPr>
            <w:tcW w:w="7512" w:type="dxa"/>
          </w:tcPr>
          <w:p w:rsidR="00495E96" w:rsidRDefault="00495E96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en-US"/>
              </w:rPr>
              <w:t>Trough several Projects, Agricultural Advise Service inform and educate farmers about requirements of Nitrate Directive and Codes of Good Agricultural practices</w:t>
            </w:r>
          </w:p>
        </w:tc>
      </w:tr>
    </w:tbl>
    <w:p w:rsidR="00A843CE" w:rsidRDefault="00A843CE">
      <w:pPr>
        <w:rPr>
          <w:lang w:val="en-US"/>
        </w:rPr>
      </w:pPr>
    </w:p>
    <w:sectPr w:rsidR="00A843CE" w:rsidSect="004A0AC6">
      <w:pgSz w:w="16838" w:h="11906" w:orient="landscape"/>
      <w:pgMar w:top="1417" w:right="1417" w:bottom="1417" w:left="1417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5121B"/>
    <w:multiLevelType w:val="multilevel"/>
    <w:tmpl w:val="678F27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999B7"/>
    <w:multiLevelType w:val="singleLevel"/>
    <w:tmpl w:val="564999B7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678F2738"/>
    <w:multiLevelType w:val="multilevel"/>
    <w:tmpl w:val="678F27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B2385"/>
    <w:multiLevelType w:val="hybridMultilevel"/>
    <w:tmpl w:val="CD48F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drawingGridHorizontalSpacing w:val="0"/>
  <w:displayHorizontalDrawingGridEvery w:val="2"/>
  <w:characterSpacingControl w:val="doNotCompress"/>
  <w:doNotValidateAgainstSchema/>
  <w:doNotDemarcateInvalidXml/>
  <w:compat>
    <w:spaceForUL/>
    <w:doNotLeaveBackslashAlone/>
  </w:compat>
  <w:rsids>
    <w:rsidRoot w:val="00172A27"/>
    <w:rsid w:val="00172A27"/>
    <w:rsid w:val="00191126"/>
    <w:rsid w:val="001930DB"/>
    <w:rsid w:val="00401E15"/>
    <w:rsid w:val="0045087A"/>
    <w:rsid w:val="00495E96"/>
    <w:rsid w:val="004A0AC6"/>
    <w:rsid w:val="004D286A"/>
    <w:rsid w:val="004D69B1"/>
    <w:rsid w:val="00535387"/>
    <w:rsid w:val="006227EA"/>
    <w:rsid w:val="0070419C"/>
    <w:rsid w:val="00746D04"/>
    <w:rsid w:val="00A843CE"/>
    <w:rsid w:val="00B627FD"/>
    <w:rsid w:val="00BD47B5"/>
    <w:rsid w:val="00E4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AC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0AC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C6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A0AC6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4A0A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4A0A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2467</Characters>
  <Application>Microsoft Office Word</Application>
  <DocSecurity>0</DocSecurity>
  <PresentationFormat/>
  <Lines>20</Lines>
  <Paragraphs>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Impl</vt:lpstr>
    </vt:vector>
  </TitlesOfParts>
  <Company>ICPDR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</dc:title>
  <dc:creator>Mihaela Popovici</dc:creator>
  <cp:lastModifiedBy>Mihaela</cp:lastModifiedBy>
  <cp:revision>2</cp:revision>
  <dcterms:created xsi:type="dcterms:W3CDTF">2015-11-16T17:52:00Z</dcterms:created>
  <dcterms:modified xsi:type="dcterms:W3CDTF">2015-11-16T17:52:00Z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1033-9.1.0.4759</vt:lpwstr>
  </property>
</Properties>
</file>